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084FC8F6" w14:textId="167654ED" w:rsidR="00375656" w:rsidRDefault="00DE5111" w:rsidP="0037565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E5111">
        <w:rPr>
          <w:rFonts w:asciiTheme="majorBidi" w:hAnsiTheme="majorBidi" w:cstheme="majorBidi"/>
          <w:b/>
          <w:bCs/>
          <w:sz w:val="24"/>
          <w:szCs w:val="24"/>
        </w:rPr>
        <w:t>Supply Chain and Operations Decision Making</w:t>
      </w:r>
    </w:p>
    <w:p w14:paraId="01322169" w14:textId="1DC0CB9B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A776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862B" w14:textId="77777777" w:rsidR="00A77661" w:rsidRDefault="00A77661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4D2ED11A" w14:textId="77777777" w:rsidR="00A77661" w:rsidRDefault="00A77661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B288" w14:textId="77777777" w:rsidR="00A77661" w:rsidRDefault="00A77661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6333640A" w14:textId="77777777" w:rsidR="00A77661" w:rsidRDefault="00A77661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07A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75656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77661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E5111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1389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9</cp:revision>
  <cp:lastPrinted>2019-07-09T09:08:00Z</cp:lastPrinted>
  <dcterms:created xsi:type="dcterms:W3CDTF">2023-09-27T10:26:00Z</dcterms:created>
  <dcterms:modified xsi:type="dcterms:W3CDTF">2024-06-19T06:50:00Z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